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DC5A078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A1F35">
        <w:t>Macro posture shows growth is decelerating from elevated levels and inflation pressures are easing but still sticky versus pre-COVID, and today’s weaker dollar, softer yields, bid to bonds, firm gold, and strength across the energy complex together signal the market is leaning into a lower‑rate, still‑inflationary environment that currently favors risk assets with some ongoing demand for hedges.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8F4CF4"/>
    <w:rsid w:val="00917862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56</Words>
  <Characters>356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2025-10-14T15:51:00Z</dcterms:created>
  <dcterms:modified xsi:type="dcterms:W3CDTF">2025-12-11T01:05:00Z</dcterms:modified>
</cp:coreProperties>
</file>