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70D26C2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7A7BD1">
        <w:t>Macro conditions reflect slowing growth and pressured earnings alongside inflation that is easing but still elevated versus pre-COVID norms, and the combination of higher yields, weaker bonds, a softening USD, modestly firmer gold, and a soft energy complex is consistent with markets repricing to a still-restrictive real rate backdrop rather than a clean pivot to a lower-growth, lower-inflation regime, which helps explain the rotation away from bond proxies into higher-quality cyclicals and secular growth.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15FCD"/>
    <w:rsid w:val="00C20EB0"/>
    <w:rsid w:val="00C36C8D"/>
    <w:rsid w:val="00C6590C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72</Words>
  <Characters>453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31</cp:revision>
  <dcterms:created xsi:type="dcterms:W3CDTF">2025-10-18T00:26:00Z</dcterms:created>
  <dcterms:modified xsi:type="dcterms:W3CDTF">2025-12-11T01:06:00Z</dcterms:modified>
</cp:coreProperties>
</file>