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(SPX, NDX, RUT) and Financials have shown only mild day-to-day linkage to moves in the 10-year yield, suggesting relatively diffuse and modest rate sensitivity across major risk indices. Utilities remain the most rate-sensitive equity sector in this group, with a clearly negative correlation that is meaningful but still contained versus historical extremes.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