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broad commodities, oil, and especially gold all showing clear negative linkage to the dollar. Gold stands out as the strongest USD proxy in this set, with a firmly negative correlation that has persisted—though slightly fluctuated—across 15D and 90D windows. Equities (SPX) and bitcoin futures show only weak and unstable relationships to the USD, suggesting their recent moves have been largely independent of dollar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