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36186" w14:textId="77777777" w:rsidR="0066702B" w:rsidRDefault="00000000">
      <w:r>
        <w:t>Monthly Market Read: December 29, 2025</w:t>
      </w:r>
    </w:p>
    <w:p w14:paraId="1F5EE8C3" w14:textId="77777777" w:rsidR="0066702B" w:rsidRDefault="00000000">
      <w:r>
        <w:t>The market is saying (all numbers are MTD % returns):</w:t>
      </w:r>
    </w:p>
    <w:p w14:paraId="17144EB1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Breadth: 55.2% of names are positive.</w:t>
      </w:r>
    </w:p>
    <w:p w14:paraId="011BAB94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Information Technology: leading (avg +2.97%)</w:t>
      </w:r>
    </w:p>
    <w:p w14:paraId="1D9206FD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Industrials: leading (avg +2.38%)</w:t>
      </w:r>
    </w:p>
    <w:p w14:paraId="0622D090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Consumer Staples: lagging (avg -1.23%)</w:t>
      </w:r>
    </w:p>
    <w:p w14:paraId="00A7C938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Consumer Discretionary: leading (avg +2.71%)</w:t>
      </w:r>
    </w:p>
    <w:p w14:paraId="3FDF1B35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Financials: leading (avg +4.62%)</w:t>
      </w:r>
    </w:p>
    <w:p w14:paraId="6D23A8BD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Utilities: lagging (avg -4.37%)</w:t>
      </w:r>
    </w:p>
    <w:p w14:paraId="0C0D5E9D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Real Estate: lagging (avg -1.20%)</w:t>
      </w:r>
    </w:p>
    <w:p w14:paraId="77F35B90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Materials: leading (avg +2.19%)</w:t>
      </w:r>
    </w:p>
    <w:p w14:paraId="4E0C9BCC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Energy: lagging (avg -2.08%)</w:t>
      </w:r>
    </w:p>
    <w:p w14:paraId="54C1BDF2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Health Care: lagging (avg -0.75%)</w:t>
      </w:r>
    </w:p>
    <w:p w14:paraId="27A0C8C7" w14:textId="77777777" w:rsidR="0066702B" w:rsidRDefault="00000000" w:rsidP="007052A9">
      <w:pPr>
        <w:pStyle w:val="ListBullet"/>
        <w:numPr>
          <w:ilvl w:val="0"/>
          <w:numId w:val="10"/>
        </w:numPr>
      </w:pPr>
      <w:r>
        <w:t>Communication Services: leading (avg +2.80%)</w:t>
      </w:r>
    </w:p>
    <w:p w14:paraId="56394275" w14:textId="77777777" w:rsidR="0066702B" w:rsidRDefault="00000000">
      <w:r>
        <w:t>Macro levers (MTD % returns):</w:t>
      </w:r>
    </w:p>
    <w:p w14:paraId="6DB75AD8" w14:textId="77777777" w:rsidR="0066702B" w:rsidRDefault="00000000" w:rsidP="007052A9">
      <w:pPr>
        <w:pStyle w:val="ListBullet"/>
        <w:numPr>
          <w:ilvl w:val="0"/>
          <w:numId w:val="11"/>
        </w:numPr>
      </w:pPr>
      <w:r>
        <w:t>Gold: leading (avg +2.76%)</w:t>
      </w:r>
    </w:p>
    <w:p w14:paraId="2E24F03B" w14:textId="77777777" w:rsidR="0066702B" w:rsidRDefault="00000000" w:rsidP="007052A9">
      <w:pPr>
        <w:pStyle w:val="ListBullet"/>
        <w:numPr>
          <w:ilvl w:val="0"/>
          <w:numId w:val="11"/>
        </w:numPr>
      </w:pPr>
      <w:r>
        <w:t>USD: soft (avg -4.36%)</w:t>
      </w:r>
    </w:p>
    <w:p w14:paraId="5A20C04E" w14:textId="77777777" w:rsidR="0066702B" w:rsidRDefault="00000000" w:rsidP="007052A9">
      <w:pPr>
        <w:pStyle w:val="ListBullet"/>
        <w:numPr>
          <w:ilvl w:val="0"/>
          <w:numId w:val="11"/>
        </w:numPr>
      </w:pPr>
      <w:r>
        <w:t>Yields: leading (avg +2.53%)</w:t>
      </w:r>
    </w:p>
    <w:p w14:paraId="357E4502" w14:textId="77777777" w:rsidR="0066702B" w:rsidRDefault="00000000" w:rsidP="007052A9">
      <w:pPr>
        <w:pStyle w:val="ListBullet"/>
        <w:numPr>
          <w:ilvl w:val="0"/>
          <w:numId w:val="11"/>
        </w:numPr>
      </w:pPr>
      <w:r>
        <w:t>Bonds: soft (avg -1.35%)</w:t>
      </w:r>
    </w:p>
    <w:p w14:paraId="482A1AF1" w14:textId="77777777" w:rsidR="0066702B" w:rsidRDefault="00000000" w:rsidP="007052A9">
      <w:pPr>
        <w:pStyle w:val="ListBullet"/>
        <w:numPr>
          <w:ilvl w:val="0"/>
          <w:numId w:val="11"/>
        </w:numPr>
      </w:pPr>
      <w:r>
        <w:t>Energy complex: soft (avg -6.73%)</w:t>
      </w:r>
    </w:p>
    <w:p w14:paraId="671D387C" w14:textId="77777777" w:rsidR="0066702B" w:rsidRDefault="00000000">
      <w:r>
        <w:t xml:space="preserve">Bottom line: Market breadth is reasonably constructive with a narrow majority of stocks up month-to-date, and leadership skewed toward higher-beta, economically sensitive groups such as Financials, Communication Services, Consumer Discretionary, Technology, Industrials, and Materials, while classic defensives and rate-sensitives like Utilities, Real Estate, Consumer Staples, Energy, and Health Care lag. The tape is signaling a preference for cyclical and growth exposure despite pressure on defensives, even as gold’s strength alongside a weaker USD, rising yields, soft bonds, and a notably soft energy complex underscores a cross-current of risk-on equity appetite against tighter financial conditions. </w:t>
      </w:r>
      <w:bookmarkStart w:id="0" w:name="_Hlk217931221"/>
      <w:r>
        <w:t>Macro conditions reflect an environment where growth is slowing and earnings expectations remain under pressure even as inflation eases from peak levels but stays elevated versus pre-COVID norms, a mix that is consistent with the market rewarding quality cyclicals and balance-sheet strength while beginning to question the durability of lower-duration, bond-proxy sectors.</w:t>
      </w:r>
      <w:bookmarkEnd w:id="0"/>
    </w:p>
    <w:sectPr w:rsidR="006670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63B58F5"/>
    <w:multiLevelType w:val="hybridMultilevel"/>
    <w:tmpl w:val="F5F43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450F67"/>
    <w:multiLevelType w:val="hybridMultilevel"/>
    <w:tmpl w:val="0C46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6227155">
    <w:abstractNumId w:val="8"/>
  </w:num>
  <w:num w:numId="2" w16cid:durableId="958798213">
    <w:abstractNumId w:val="6"/>
  </w:num>
  <w:num w:numId="3" w16cid:durableId="201942546">
    <w:abstractNumId w:val="5"/>
  </w:num>
  <w:num w:numId="4" w16cid:durableId="1951620258">
    <w:abstractNumId w:val="4"/>
  </w:num>
  <w:num w:numId="5" w16cid:durableId="1033263543">
    <w:abstractNumId w:val="7"/>
  </w:num>
  <w:num w:numId="6" w16cid:durableId="354119853">
    <w:abstractNumId w:val="3"/>
  </w:num>
  <w:num w:numId="7" w16cid:durableId="1408071318">
    <w:abstractNumId w:val="2"/>
  </w:num>
  <w:num w:numId="8" w16cid:durableId="590625678">
    <w:abstractNumId w:val="1"/>
  </w:num>
  <w:num w:numId="9" w16cid:durableId="207836881">
    <w:abstractNumId w:val="0"/>
  </w:num>
  <w:num w:numId="10" w16cid:durableId="164630934">
    <w:abstractNumId w:val="9"/>
  </w:num>
  <w:num w:numId="11" w16cid:durableId="5739294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F2B"/>
    <w:rsid w:val="0015074B"/>
    <w:rsid w:val="0029639D"/>
    <w:rsid w:val="00326F90"/>
    <w:rsid w:val="0066702B"/>
    <w:rsid w:val="007052A9"/>
    <w:rsid w:val="00AA1D8D"/>
    <w:rsid w:val="00B47730"/>
    <w:rsid w:val="00CB0664"/>
    <w:rsid w:val="00D543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768A67"/>
  <w14:defaultImageDpi w14:val="300"/>
  <w15:docId w15:val="{2FC84FFB-A4C1-4FCE-9196-7A980D35D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1543</Characters>
  <Application>Microsoft Office Word</Application>
  <DocSecurity>0</DocSecurity>
  <Lines>32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2025-12-30T01:06:00Z</dcterms:created>
  <dcterms:modified xsi:type="dcterms:W3CDTF">2025-12-30T01:06:00Z</dcterms:modified>
  <cp:category/>
</cp:coreProperties>
</file>