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8233F85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662662">
        <w:t>Macro conditions reflect an environment where growth is slowing and earnings expectations remain under pressure even as inflation eases from peak levels but stays elevated versus pre-COVID norms, a mix that is consistent with the market rewarding quality cyclicals and balance-sheet strength while beginning to question the durability of lower-duration, bond-proxy sectors.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B54D1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52</Words>
  <Characters>335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44</cp:revision>
  <dcterms:created xsi:type="dcterms:W3CDTF">2025-10-18T00:26:00Z</dcterms:created>
  <dcterms:modified xsi:type="dcterms:W3CDTF">2025-12-30T01:06:00Z</dcterms:modified>
</cp:coreProperties>
</file>