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past 30 days, utilities stand out with a concentrated negative sensitivity to moves in the 10-year yield, while the Russell 2000, S&amp;P 500, and financials show moderate but less extreme negative links. The Nasdaq 100’s 30-day correlation is relatively contained, suggesting its recent equity swings have been less directly tied to rate moves than other major indices. Shorter-term (15-day) readings generally lean more negative, while 90-day averages sit closer to zero, highlighting that the current rate sensitivity is more pronounced in the near term than over the past quarter.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