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On the 30‑day view, USD sensitivity is concentrated in gold and oil, where a stronger dollar has recently lined up with weaker prices, and that inverse link in gold is also visible across both shorter and longer windows. Equities and broad commodities show a milder, more mixed USD relationship, while Bitcoin and the broad commodity basket sit in a relatively contained zone with only modest day‑to‑day linkage to the dollar.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