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1D5B9" w14:textId="60896DA8" w:rsidR="00AF00F9" w:rsidRDefault="00000000">
      <w:r>
        <w:t>Rates correlations: Across equities and sectors, 30-day correlations to the 10-year yield are moderately negative (around -0.3), indicating that recent equity and sector moves have generally leaned to benefit when yields ease. The tech-heavy Nasdaq 100, broad S&amp;P 500, and small caps all show similar 30-day rate sensitivity, rather than any one equity segment dominating. Shorter (15-day) and longer (90-day) windows are much closer to zero, suggesting that this rate linkage has been more pronounced in the intermediate-term than in very recent or longer-run data.</w:t>
      </w:r>
    </w:p>
    <w:sectPr w:rsidR="00AF00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353886">
    <w:abstractNumId w:val="8"/>
  </w:num>
  <w:num w:numId="2" w16cid:durableId="1550340771">
    <w:abstractNumId w:val="6"/>
  </w:num>
  <w:num w:numId="3" w16cid:durableId="1448700426">
    <w:abstractNumId w:val="5"/>
  </w:num>
  <w:num w:numId="4" w16cid:durableId="900218235">
    <w:abstractNumId w:val="4"/>
  </w:num>
  <w:num w:numId="5" w16cid:durableId="1304312909">
    <w:abstractNumId w:val="7"/>
  </w:num>
  <w:num w:numId="6" w16cid:durableId="752971422">
    <w:abstractNumId w:val="3"/>
  </w:num>
  <w:num w:numId="7" w16cid:durableId="114912739">
    <w:abstractNumId w:val="2"/>
  </w:num>
  <w:num w:numId="8" w16cid:durableId="620571242">
    <w:abstractNumId w:val="1"/>
  </w:num>
  <w:num w:numId="9" w16cid:durableId="171438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18CD"/>
    <w:rsid w:val="0015074B"/>
    <w:rsid w:val="0029639D"/>
    <w:rsid w:val="00326F90"/>
    <w:rsid w:val="009123CA"/>
    <w:rsid w:val="00AA1D8D"/>
    <w:rsid w:val="00AF00F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81FEBA"/>
  <w14:defaultImageDpi w14:val="300"/>
  <w15:docId w15:val="{EE064049-F997-421A-97BB-59A8313C1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2013-12-23T23:15:00Z</dcterms:created>
  <dcterms:modified xsi:type="dcterms:W3CDTF">2026-01-09T01:08:00Z</dcterms:modified>
  <cp:category/>
</cp:coreProperties>
</file>