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Across major equity indexes, 30-day correlations with the 10-year yield are modestly negative, indicating that recent stock moves have generally struggled on days when yields rise, with the effect most pronounced in small caps and financials. Utilities stand out with a concentrated and consistently strong negative link to rates across all windows, underscoring their role as the most rate-sensitive equity sector in this set. The near-zero 90-day readings for the large-cap benchmarks suggest that, over a longer horizon, the day-to-day push and pull from yields has largely washed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