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CA8E2" w14:textId="77777777" w:rsidR="003C4A04" w:rsidRPr="00480657" w:rsidRDefault="00547C0F" w:rsidP="003C4A04">
      <w:r w:rsidRPr="00C73559">
        <w:rPr>
          <w:b/>
          <w:bCs/>
        </w:rPr>
        <w:t>Bottom line:</w:t>
      </w:r>
      <w:r w:rsidRPr="00C73559">
        <w:t xml:space="preserve"> </w:t>
      </w:r>
      <w:r w:rsidR="003C4A04" w:rsidRPr="00480657">
        <w:t xml:space="preserve">Macro tape shows a firmer dollar, easing yields, and weakness in gold; that mix leans toward </w:t>
      </w:r>
      <w:r w:rsidR="003C4A04" w:rsidRPr="00480657">
        <w:rPr>
          <w:b/>
          <w:bCs/>
        </w:rPr>
        <w:t>growth stabilizing</w:t>
      </w:r>
      <w:r w:rsidR="003C4A04" w:rsidRPr="00480657">
        <w:t xml:space="preserve"> while </w:t>
      </w:r>
      <w:r w:rsidR="003C4A04" w:rsidRPr="00480657">
        <w:rPr>
          <w:b/>
          <w:bCs/>
        </w:rPr>
        <w:t>inflation pressures ease</w:t>
      </w:r>
      <w:r w:rsidR="003C4A04" w:rsidRPr="00480657">
        <w:t>—constructive for risk assets that benefit from firmer growth and lower inflation, but today’s split breadth argues for balance between pro-cyclical exposure and selective defensives.</w:t>
      </w:r>
    </w:p>
    <w:p w14:paraId="5A40CDC3" w14:textId="3BF7E6AE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B60BF"/>
    <w:rsid w:val="00917862"/>
    <w:rsid w:val="009C43A2"/>
    <w:rsid w:val="00A01661"/>
    <w:rsid w:val="00A1108A"/>
    <w:rsid w:val="00A16CDD"/>
    <w:rsid w:val="00A66203"/>
    <w:rsid w:val="00AA2725"/>
    <w:rsid w:val="00AF286D"/>
    <w:rsid w:val="00BA3171"/>
    <w:rsid w:val="00C34B33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A04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</Words>
  <Characters>291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11</cp:revision>
  <dcterms:created xsi:type="dcterms:W3CDTF">2025-10-14T15:51:00Z</dcterms:created>
  <dcterms:modified xsi:type="dcterms:W3CDTF">2025-10-22T00:21:00Z</dcterms:modified>
</cp:coreProperties>
</file>