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FC55C" w14:textId="77777777" w:rsidR="00112548" w:rsidRPr="006E4250" w:rsidRDefault="00000000">
      <w:pPr>
        <w:rPr>
          <w:rFonts w:ascii="Aptos" w:hAnsi="Aptos"/>
        </w:rPr>
      </w:pPr>
      <w:r w:rsidRPr="006E4250">
        <w:rPr>
          <w:rFonts w:ascii="Aptos" w:hAnsi="Aptos"/>
        </w:rPr>
        <w:t>Market Read: December 05, 2025</w:t>
      </w:r>
    </w:p>
    <w:p w14:paraId="30E92BEA" w14:textId="77777777" w:rsidR="00112548" w:rsidRPr="006E4250" w:rsidRDefault="00000000">
      <w:pPr>
        <w:rPr>
          <w:rFonts w:ascii="Aptos" w:hAnsi="Aptos"/>
        </w:rPr>
      </w:pPr>
      <w:r w:rsidRPr="006E4250">
        <w:rPr>
          <w:rFonts w:ascii="Aptos" w:hAnsi="Aptos"/>
        </w:rPr>
        <w:t>The market is saying:</w:t>
      </w:r>
    </w:p>
    <w:p w14:paraId="7C46734A" w14:textId="77777777" w:rsidR="00112548" w:rsidRPr="006E4250" w:rsidRDefault="00000000" w:rsidP="006E4250">
      <w:pPr>
        <w:pStyle w:val="ListBullet"/>
        <w:numPr>
          <w:ilvl w:val="0"/>
          <w:numId w:val="10"/>
        </w:numPr>
        <w:rPr>
          <w:rFonts w:ascii="Aptos" w:hAnsi="Aptos"/>
        </w:rPr>
      </w:pPr>
      <w:r w:rsidRPr="006E4250">
        <w:rPr>
          <w:rFonts w:ascii="Aptos" w:hAnsi="Aptos"/>
        </w:rPr>
        <w:t>Breadth: 50.0% of names are positive.</w:t>
      </w:r>
    </w:p>
    <w:p w14:paraId="35C1E26F" w14:textId="77777777" w:rsidR="00112548" w:rsidRPr="006E4250" w:rsidRDefault="00000000" w:rsidP="006E4250">
      <w:pPr>
        <w:pStyle w:val="ListBullet"/>
        <w:numPr>
          <w:ilvl w:val="0"/>
          <w:numId w:val="10"/>
        </w:numPr>
        <w:rPr>
          <w:rFonts w:ascii="Aptos" w:hAnsi="Aptos"/>
        </w:rPr>
      </w:pPr>
      <w:r w:rsidRPr="006E4250">
        <w:rPr>
          <w:rFonts w:ascii="Aptos" w:hAnsi="Aptos"/>
        </w:rPr>
        <w:t>Information Technology: leading (avg +0.99%)</w:t>
      </w:r>
    </w:p>
    <w:p w14:paraId="6A187C3C" w14:textId="77777777" w:rsidR="00112548" w:rsidRPr="006E4250" w:rsidRDefault="00000000" w:rsidP="006E4250">
      <w:pPr>
        <w:pStyle w:val="ListBullet"/>
        <w:numPr>
          <w:ilvl w:val="0"/>
          <w:numId w:val="10"/>
        </w:numPr>
        <w:rPr>
          <w:rFonts w:ascii="Aptos" w:hAnsi="Aptos"/>
        </w:rPr>
      </w:pPr>
      <w:r w:rsidRPr="006E4250">
        <w:rPr>
          <w:rFonts w:ascii="Aptos" w:hAnsi="Aptos"/>
        </w:rPr>
        <w:t>Industrials: soft (avg -0.14%)</w:t>
      </w:r>
    </w:p>
    <w:p w14:paraId="486307AD" w14:textId="77777777" w:rsidR="00112548" w:rsidRPr="006E4250" w:rsidRDefault="00000000" w:rsidP="006E4250">
      <w:pPr>
        <w:pStyle w:val="ListBullet"/>
        <w:numPr>
          <w:ilvl w:val="0"/>
          <w:numId w:val="10"/>
        </w:numPr>
        <w:rPr>
          <w:rFonts w:ascii="Aptos" w:hAnsi="Aptos"/>
        </w:rPr>
      </w:pPr>
      <w:r w:rsidRPr="006E4250">
        <w:rPr>
          <w:rFonts w:ascii="Aptos" w:hAnsi="Aptos"/>
        </w:rPr>
        <w:t>Consumer Staples: firm (avg +0.32%)</w:t>
      </w:r>
    </w:p>
    <w:p w14:paraId="1A2A57AF" w14:textId="77777777" w:rsidR="00112548" w:rsidRPr="006E4250" w:rsidRDefault="00000000" w:rsidP="006E4250">
      <w:pPr>
        <w:pStyle w:val="ListBullet"/>
        <w:numPr>
          <w:ilvl w:val="0"/>
          <w:numId w:val="10"/>
        </w:numPr>
        <w:rPr>
          <w:rFonts w:ascii="Aptos" w:hAnsi="Aptos"/>
        </w:rPr>
      </w:pPr>
      <w:r w:rsidRPr="006E4250">
        <w:rPr>
          <w:rFonts w:ascii="Aptos" w:hAnsi="Aptos"/>
        </w:rPr>
        <w:t>Consumer Discretionary: leading (avg +0.66%)</w:t>
      </w:r>
    </w:p>
    <w:p w14:paraId="65729443" w14:textId="77777777" w:rsidR="00112548" w:rsidRPr="006E4250" w:rsidRDefault="00000000" w:rsidP="006E4250">
      <w:pPr>
        <w:pStyle w:val="ListBullet"/>
        <w:numPr>
          <w:ilvl w:val="0"/>
          <w:numId w:val="10"/>
        </w:numPr>
        <w:rPr>
          <w:rFonts w:ascii="Aptos" w:hAnsi="Aptos"/>
        </w:rPr>
      </w:pPr>
      <w:r w:rsidRPr="006E4250">
        <w:rPr>
          <w:rFonts w:ascii="Aptos" w:hAnsi="Aptos"/>
        </w:rPr>
        <w:t>Financials: flat (avg -0.09%)</w:t>
      </w:r>
    </w:p>
    <w:p w14:paraId="77AEB750" w14:textId="77777777" w:rsidR="00112548" w:rsidRPr="006E4250" w:rsidRDefault="00000000" w:rsidP="006E4250">
      <w:pPr>
        <w:pStyle w:val="ListBullet"/>
        <w:numPr>
          <w:ilvl w:val="0"/>
          <w:numId w:val="10"/>
        </w:numPr>
        <w:rPr>
          <w:rFonts w:ascii="Aptos" w:hAnsi="Aptos"/>
        </w:rPr>
      </w:pPr>
      <w:r w:rsidRPr="006E4250">
        <w:rPr>
          <w:rFonts w:ascii="Aptos" w:hAnsi="Aptos"/>
        </w:rPr>
        <w:t>Utilities: lagging (avg -0.77%)</w:t>
      </w:r>
    </w:p>
    <w:p w14:paraId="04BB6443" w14:textId="77777777" w:rsidR="00112548" w:rsidRPr="006E4250" w:rsidRDefault="00000000" w:rsidP="006E4250">
      <w:pPr>
        <w:pStyle w:val="ListBullet"/>
        <w:numPr>
          <w:ilvl w:val="0"/>
          <w:numId w:val="10"/>
        </w:numPr>
        <w:rPr>
          <w:rFonts w:ascii="Aptos" w:hAnsi="Aptos"/>
        </w:rPr>
      </w:pPr>
      <w:r w:rsidRPr="006E4250">
        <w:rPr>
          <w:rFonts w:ascii="Aptos" w:hAnsi="Aptos"/>
        </w:rPr>
        <w:t>Real Estate: soft (avg -0.31%)</w:t>
      </w:r>
    </w:p>
    <w:p w14:paraId="24021CE8" w14:textId="77777777" w:rsidR="00112548" w:rsidRPr="006E4250" w:rsidRDefault="00000000" w:rsidP="006E4250">
      <w:pPr>
        <w:pStyle w:val="ListBullet"/>
        <w:numPr>
          <w:ilvl w:val="0"/>
          <w:numId w:val="10"/>
        </w:numPr>
        <w:rPr>
          <w:rFonts w:ascii="Aptos" w:hAnsi="Aptos"/>
        </w:rPr>
      </w:pPr>
      <w:r w:rsidRPr="006E4250">
        <w:rPr>
          <w:rFonts w:ascii="Aptos" w:hAnsi="Aptos"/>
        </w:rPr>
        <w:t>Materials: flat (avg +0.06%)</w:t>
      </w:r>
    </w:p>
    <w:p w14:paraId="001BBD76" w14:textId="77777777" w:rsidR="00112548" w:rsidRPr="006E4250" w:rsidRDefault="00000000" w:rsidP="006E4250">
      <w:pPr>
        <w:pStyle w:val="ListBullet"/>
        <w:numPr>
          <w:ilvl w:val="0"/>
          <w:numId w:val="10"/>
        </w:numPr>
        <w:rPr>
          <w:rFonts w:ascii="Aptos" w:hAnsi="Aptos"/>
        </w:rPr>
      </w:pPr>
      <w:r w:rsidRPr="006E4250">
        <w:rPr>
          <w:rFonts w:ascii="Aptos" w:hAnsi="Aptos"/>
        </w:rPr>
        <w:t>Energy: flat (avg -0.01%)</w:t>
      </w:r>
    </w:p>
    <w:p w14:paraId="43400ECA" w14:textId="77777777" w:rsidR="00112548" w:rsidRPr="006E4250" w:rsidRDefault="00000000" w:rsidP="006E4250">
      <w:pPr>
        <w:pStyle w:val="ListBullet"/>
        <w:numPr>
          <w:ilvl w:val="0"/>
          <w:numId w:val="10"/>
        </w:numPr>
        <w:rPr>
          <w:rFonts w:ascii="Aptos" w:hAnsi="Aptos"/>
        </w:rPr>
      </w:pPr>
      <w:r w:rsidRPr="006E4250">
        <w:rPr>
          <w:rFonts w:ascii="Aptos" w:hAnsi="Aptos"/>
        </w:rPr>
        <w:t>Health Care: flat (avg +0.04%)</w:t>
      </w:r>
    </w:p>
    <w:p w14:paraId="0B843AB2" w14:textId="77777777" w:rsidR="00112548" w:rsidRPr="006E4250" w:rsidRDefault="00000000" w:rsidP="006E4250">
      <w:pPr>
        <w:pStyle w:val="ListBullet"/>
        <w:numPr>
          <w:ilvl w:val="0"/>
          <w:numId w:val="10"/>
        </w:numPr>
        <w:rPr>
          <w:rFonts w:ascii="Aptos" w:hAnsi="Aptos"/>
        </w:rPr>
      </w:pPr>
      <w:r w:rsidRPr="006E4250">
        <w:rPr>
          <w:rFonts w:ascii="Aptos" w:hAnsi="Aptos"/>
        </w:rPr>
        <w:t>Communication Services: leading (avg +0.64%)</w:t>
      </w:r>
    </w:p>
    <w:p w14:paraId="42B084D1" w14:textId="77777777" w:rsidR="00112548" w:rsidRPr="006E4250" w:rsidRDefault="00000000">
      <w:pPr>
        <w:rPr>
          <w:rFonts w:ascii="Aptos" w:hAnsi="Aptos"/>
        </w:rPr>
      </w:pPr>
      <w:r w:rsidRPr="006E4250">
        <w:rPr>
          <w:rFonts w:ascii="Aptos" w:hAnsi="Aptos"/>
        </w:rPr>
        <w:t>Macro levers:</w:t>
      </w:r>
    </w:p>
    <w:p w14:paraId="08E417AD" w14:textId="77777777" w:rsidR="00112548" w:rsidRPr="006E4250" w:rsidRDefault="00000000" w:rsidP="006E4250">
      <w:pPr>
        <w:pStyle w:val="ListBullet"/>
        <w:numPr>
          <w:ilvl w:val="0"/>
          <w:numId w:val="11"/>
        </w:numPr>
        <w:rPr>
          <w:rFonts w:ascii="Aptos" w:hAnsi="Aptos"/>
        </w:rPr>
      </w:pPr>
      <w:r w:rsidRPr="006E4250">
        <w:rPr>
          <w:rFonts w:ascii="Aptos" w:hAnsi="Aptos"/>
        </w:rPr>
        <w:t>Gold: flat (avg -0.18%)</w:t>
      </w:r>
    </w:p>
    <w:p w14:paraId="316D01D8" w14:textId="77777777" w:rsidR="00112548" w:rsidRPr="006E4250" w:rsidRDefault="00000000" w:rsidP="006E4250">
      <w:pPr>
        <w:pStyle w:val="ListBullet"/>
        <w:numPr>
          <w:ilvl w:val="0"/>
          <w:numId w:val="11"/>
        </w:numPr>
        <w:rPr>
          <w:rFonts w:ascii="Aptos" w:hAnsi="Aptos"/>
        </w:rPr>
      </w:pPr>
      <w:r w:rsidRPr="006E4250">
        <w:rPr>
          <w:rFonts w:ascii="Aptos" w:hAnsi="Aptos"/>
        </w:rPr>
        <w:t>USD: flat (avg -0.11%)</w:t>
      </w:r>
    </w:p>
    <w:p w14:paraId="3DEC8593" w14:textId="77777777" w:rsidR="00112548" w:rsidRPr="006E4250" w:rsidRDefault="00000000" w:rsidP="006E4250">
      <w:pPr>
        <w:pStyle w:val="ListBullet"/>
        <w:numPr>
          <w:ilvl w:val="0"/>
          <w:numId w:val="11"/>
        </w:numPr>
        <w:rPr>
          <w:rFonts w:ascii="Aptos" w:hAnsi="Aptos"/>
        </w:rPr>
      </w:pPr>
      <w:r w:rsidRPr="006E4250">
        <w:rPr>
          <w:rFonts w:ascii="Aptos" w:hAnsi="Aptos"/>
        </w:rPr>
        <w:t>Yields: leading (avg +0.74%)</w:t>
      </w:r>
    </w:p>
    <w:p w14:paraId="35CD2488" w14:textId="77777777" w:rsidR="00112548" w:rsidRPr="006E4250" w:rsidRDefault="00000000" w:rsidP="006E4250">
      <w:pPr>
        <w:pStyle w:val="ListBullet"/>
        <w:numPr>
          <w:ilvl w:val="0"/>
          <w:numId w:val="11"/>
        </w:numPr>
        <w:rPr>
          <w:rFonts w:ascii="Aptos" w:hAnsi="Aptos"/>
        </w:rPr>
      </w:pPr>
      <w:r w:rsidRPr="006E4250">
        <w:rPr>
          <w:rFonts w:ascii="Aptos" w:hAnsi="Aptos"/>
        </w:rPr>
        <w:t>Bonds: flat (avg -0.22%)</w:t>
      </w:r>
    </w:p>
    <w:p w14:paraId="19FF3DDD" w14:textId="77777777" w:rsidR="00112548" w:rsidRPr="006E4250" w:rsidRDefault="00000000" w:rsidP="006E4250">
      <w:pPr>
        <w:pStyle w:val="ListBullet"/>
        <w:numPr>
          <w:ilvl w:val="0"/>
          <w:numId w:val="11"/>
        </w:numPr>
        <w:rPr>
          <w:rFonts w:ascii="Aptos" w:hAnsi="Aptos"/>
        </w:rPr>
      </w:pPr>
      <w:r w:rsidRPr="006E4250">
        <w:rPr>
          <w:rFonts w:ascii="Aptos" w:hAnsi="Aptos"/>
        </w:rPr>
        <w:t>Energy complex: leading (avg +2.63%)</w:t>
      </w:r>
    </w:p>
    <w:p w14:paraId="27FC51B5" w14:textId="18F4FB28" w:rsidR="00112548" w:rsidRPr="006E4250" w:rsidRDefault="00000000">
      <w:pPr>
        <w:rPr>
          <w:rFonts w:ascii="Aptos" w:hAnsi="Aptos"/>
        </w:rPr>
      </w:pPr>
      <w:r w:rsidRPr="006E4250">
        <w:rPr>
          <w:rFonts w:ascii="Aptos" w:hAnsi="Aptos"/>
        </w:rPr>
        <w:t xml:space="preserve">Bottom line: Breadth is perfectly balanced with half the tape green, but leadership is clearly in higher-beta, growth-sensitive pockets as Technology, Consumer Discretionary, and Communication Services drive gains while defensives like Utilities and Real Estate lag and Financials, Energy, and Health Care mark time. That mix points to a market still willing to pay for secular growth and consumption, but not broadly embracing cyclicals, with Industrials soft and overall participation only middling. Macro conditions reflect a backdrop where growth is slowing from elevated levels and earnings revisions are starting to roll, even as easing but still-elevated inflation keeps the environment from feeling truly disinflationary. </w:t>
      </w:r>
    </w:p>
    <w:sectPr w:rsidR="00112548" w:rsidRPr="006E425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ED0759D"/>
    <w:multiLevelType w:val="hybridMultilevel"/>
    <w:tmpl w:val="BA9C9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F27487C"/>
    <w:multiLevelType w:val="hybridMultilevel"/>
    <w:tmpl w:val="26807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5220569">
    <w:abstractNumId w:val="8"/>
  </w:num>
  <w:num w:numId="2" w16cid:durableId="1817794854">
    <w:abstractNumId w:val="6"/>
  </w:num>
  <w:num w:numId="3" w16cid:durableId="1296831242">
    <w:abstractNumId w:val="5"/>
  </w:num>
  <w:num w:numId="4" w16cid:durableId="541283428">
    <w:abstractNumId w:val="4"/>
  </w:num>
  <w:num w:numId="5" w16cid:durableId="1439328037">
    <w:abstractNumId w:val="7"/>
  </w:num>
  <w:num w:numId="6" w16cid:durableId="707334994">
    <w:abstractNumId w:val="3"/>
  </w:num>
  <w:num w:numId="7" w16cid:durableId="150289780">
    <w:abstractNumId w:val="2"/>
  </w:num>
  <w:num w:numId="8" w16cid:durableId="1137259583">
    <w:abstractNumId w:val="1"/>
  </w:num>
  <w:num w:numId="9" w16cid:durableId="2047482970">
    <w:abstractNumId w:val="0"/>
  </w:num>
  <w:num w:numId="10" w16cid:durableId="1673483075">
    <w:abstractNumId w:val="10"/>
  </w:num>
  <w:num w:numId="11" w16cid:durableId="21402176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2548"/>
    <w:rsid w:val="0015074B"/>
    <w:rsid w:val="0029639D"/>
    <w:rsid w:val="00326F90"/>
    <w:rsid w:val="00601448"/>
    <w:rsid w:val="006E4250"/>
    <w:rsid w:val="00AA1D8D"/>
    <w:rsid w:val="00B47730"/>
    <w:rsid w:val="00CB0664"/>
    <w:rsid w:val="00DB3B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5E21C4"/>
  <w14:defaultImageDpi w14:val="300"/>
  <w15:docId w15:val="{C0E25DAC-EE35-4BA6-AC68-3B0BDD048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189</Words>
  <Characters>1166</Characters>
  <Application>Microsoft Office Word</Application>
  <DocSecurity>0</DocSecurity>
  <Lines>24</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2025-12-06T13:33:00Z</dcterms:created>
  <dcterms:modified xsi:type="dcterms:W3CDTF">2025-12-06T13:33:00Z</dcterms:modified>
  <cp:category/>
</cp:coreProperties>
</file>