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5E3C2" w14:textId="77777777" w:rsidR="00067C93" w:rsidRPr="00E413A0" w:rsidRDefault="00547C0F" w:rsidP="00067C93">
      <w:pPr>
        <w:rPr>
          <w:rFonts w:ascii="Aptos" w:hAnsi="Aptos"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067C93" w:rsidRPr="00E413A0">
        <w:rPr>
          <w:rFonts w:ascii="Aptos" w:hAnsi="Aptos"/>
        </w:rPr>
        <w:t xml:space="preserve">Macro conditions reflect a backdrop where growth is slowing on a rolling basis and earnings revisions remain under pressure, while inflation is easing off the peaks but still running above pre-COVID norms; the soft USD and modestly weaker gold fit a market that is not yet pricing acute stress but is adjusting to tighter real-financial conditions. </w:t>
      </w:r>
    </w:p>
    <w:p w14:paraId="5A40CDC3" w14:textId="1B2F723B" w:rsidR="00136E36" w:rsidRPr="0093789C" w:rsidRDefault="00136E36" w:rsidP="00EB2D7D"/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C7B3D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28</cp:revision>
  <dcterms:created xsi:type="dcterms:W3CDTF">2025-10-18T00:26:00Z</dcterms:created>
  <dcterms:modified xsi:type="dcterms:W3CDTF">2025-12-06T13:38:00Z</dcterms:modified>
</cp:coreProperties>
</file>