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past 30 days, rate sensitivity is most concentrated in Utilities, where returns have moved clearly opposite 10Y yields, while broad indices show only moderate negative linkage. The S&amp;P 500, Nasdaq 100, and Financials have relatively mild 30D correlations to yields, and their 90D readings hover near zero, suggesting only limited and recently developed rate influence. The Russell 2000 shows a more persistent negative relationship to yields than the large‑cap benchmarks, but still well below Utilities in terms of rate-driven moves.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