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view, USD sensitivity is concentrated in gold and oil, where a stronger dollar has recently lined up with weaker GLD and USO returns, and to a lesser extent softer equities. GLD shows the clearest and most persistent inverse linkage, with its shorter- and longer-term correlations also firmly negative. SPX and COMT are moderately tied to the dollar, while Bitcoin and broad commodities sit closer to neutral, suggesting less consistent day-to-day impact from USD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