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7188F75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052B4">
        <w:t>Macro conditions reflect an environment where growth is decelerating from high levels and earnings expectations are being marked lower even as still-elevated but easing inflation pressures keep policy and discount-rate risks in play, and today’s mix of stronger USD, firmer yields, bid for gold, flat bonds, and a heavy energy complex is consistent with investors seeking quality growth and defensive duration over pure cyclical and commodity beta.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B54D8"/>
    <w:rsid w:val="004D4392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2FF7"/>
    <w:rsid w:val="00CB07A2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64</Words>
  <Characters>398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56</cp:revision>
  <dcterms:created xsi:type="dcterms:W3CDTF">2025-10-14T15:51:00Z</dcterms:created>
  <dcterms:modified xsi:type="dcterms:W3CDTF">2026-01-07T01:03:00Z</dcterms:modified>
</cp:coreProperties>
</file>