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8ED9618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11002">
        <w:t>Macro conditions reflect a backdrop where growth is slowing and earnings revisions remain pressured while inflation, though easing from the peak, is still elevated versus pre-COVID norms, and that’s consistent with gold’s strong bid, a firm but not surging USD, flat yields, steady bonds, and a weak energy complex, all of which point to investors cautiously leaning into quality growth and balance-sheet strength rather than making a high-conviction cyclical or reflationary bet.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69</Words>
  <Characters>425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50</cp:revision>
  <dcterms:created xsi:type="dcterms:W3CDTF">2025-10-18T00:25:00Z</dcterms:created>
  <dcterms:modified xsi:type="dcterms:W3CDTF">2026-01-07T01:04:00Z</dcterms:modified>
</cp:coreProperties>
</file>