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days, most major equity and sector benchmarks have shown a clear negative relationship with 10-year yields, suggesting broad equity weakness when rates rise. Rate sensitivity is most concentrated in small caps and utilities, where 30D correlations are near the lows of this group and the 15D readings also lean negative. The mixed 90D correlations versus the more consistently negative 30D readings indicate that this rate sensitivity has sharpened more recently rather than being a persistent longer-term pattern.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