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On the 30-day window, USD moves are felt most clearly in oil and gold, with a moderate inverse relationship, while broad commodities and Bitcoin are largely moving independently of the dollar. The influence is concentrated rather than broad-based, as no other asset shows a similarly consistent linkage across timeframes. The short-term (15-day) readings show a somewhat sharper dollar sensitivity for oil and gold, but over 90 days most assets, including equities, look only weakly tied to USD fluctuations.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