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all major equity benchmarks have moved inversely with 10-year yields, with the Russell 2000 showing the strongest negative linkage among the equity indices, indicating that smaller caps have been most sensitive to rate moves. The S&amp;P 500 and Nasdaq 100 also show fairly pronounced negative correlations, suggesting broad growth and large-cap risk have been leaning against rising yields. Sector-wise, utilities display a consistently negative relationship to yields, while financials have been less tightly tied to rate shifts than their rate-exposed business models might suggest, keeping rate influence more diffuse across the equity complex rather than concentrated in a single sector.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