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GLD, SPX, and Bitcoin, all showing clear negative links to the dollar, with gold the standout as it has moved strongly in the opposite direction of DXY. SPX and Bitcoin also tend to weaken when the dollar strengthens, and their 15D and 90D readings suggest this inverse pattern has been fairly persistent, though somewhat less stable over longer windows for Bitcoin. In contrast, broad commodities show only a mild and inconsistent connection to the dollar, while oil’s modest positive linkage has been stronger over 90 days than in the more recent 15–30 day windows.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