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equity indexes and defensives have moved mostly opposite to 10-year yields, with the S&amp;P 500, Nasdaq 100, Russell 2000, and Utilities all showing moderately strong negative sensitivity. That pressure is most pronounced in small caps, where the Russell 2000’s correlation is both elevated and persistent versus its 90-day reading. Financials remain negatively linked to yields but notably less so than the broad market, indicating that equity rate sensitivity is not concentrated in that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