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moderately negative linkages that imply they have generally moved opposite to the dollar. GLD stands out as the dominant USD hedge in this set, with its strong and persistent negative correlation across 15D, 30D, and 90D. SPX and Bitcoin also lean clearly inverse to the USD, though a bit less tightly. In contrast, broad commodities and oil have shown only minimal USD linkage, suggesting their recent moves have been driven more by asset‑specific factors than by dollar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