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equities have generally moved opposite 10-year yields, with the Russell 2000 and Financials showing the most consistent equity-rate linkage, indicating that rate sensitivity is somewhat concentrated in these more cyclical segments. The S&amp;P 500 shows a moderate negative relationship, while the Nasdaq 100’s weaker linkage suggests large-cap tech has been less tightly tethered to rate moves recently. Utilities have flipped to a slight positive correlation over 30 days, in contrast to their mildly negative tilt over 90 days, underscoring how sector-specific rate sensitivity can shift over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