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last 30 trading days, USD sensitivity is concentrated in Gold (GLD) and Bitcoin (BTC), both showing moderate negative correlations, with GLD’s linkage strengthening over the 90D window while BTC’s remains relatively stable. The S&amp;P 500 also leans negatively correlated to the USD but in a milder and somewhat less consistent way than GLD. In contrast, oil (USO) and broad commodities (COMT) show contained and slightly positive or near-zero correlations, indicating limited and less reliable USD influence on their day-to-day moves.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