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all major equity indexes have moved inversely with 10-year yields, with the Russell 2000 showing the strongest equity-rate linkage and thus the most pronounced rate sensitivity among the equity benchmarks. The S&amp;P 500 and Nasdaq 100 show moderate negative correlations, indicating that rising yields have tended to coincide with weaker large-cap and growth performance, but less so than for small caps. Sector-wise, Financials and Utilities are both negatively tied to yields as well, suggesting that recent rate moves have not provided the typical support to banks and have remained a clear headwind for defensive yield-oriented stocks.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