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and bitcoin, both showing moderately negative correlations that imply they have tended to rise when the dollar falls and vice versa. Gold exhibits the strongest and most stable linkage to the dollar across 15D, 30D, and 90D windows, while bitcoin’s negative correlation is similar in size but a bit less consistent. Equities, oil, and broad commodities show relatively contained short-term USD linkage, suggesting their recent day-to-day moves have been driven more by non-USD factors.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