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indexes have generally moved opposite 10Y yields, with the Russell 2000 showing the strongest equity-rate linkage and thus the most concentrated rate sensitivity among the major indices. The S&amp;P 500 and Nasdaq 100 are also meaningfully negatively tied to yields, but less so than small caps, while Utilities show a steadier, moderate negative relationship. Financials stand out for having only a mild 30-day correlation to rates, suggesting their recent moves have been less directly driven by yield changes than other sectors.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