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strong and stable negative correlations that imply they have tended to rise when the dollar falls and vice versa. GLD stands out as the most tightly linked, with a consistently strong inverse relationship across 15D, 30D, and 90D windows. SPX and Bitcoin also show meaningful and persistent inverse ties to the USD, while USO and broad commodities have been largely insulated from short-term dollar moves despite showing a mild positive linkage over the 90D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