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indexes have shown strong negative sensitivity to moves in the 10-year yield, with the Russell 2000 the most rate-sensitive among them and the S&amp;P 500 and Nasdaq 100 not far behind. This suggests that recent equity weakness has been closely tied to rising yields, especially in smaller caps where that influence is most concentrated. In contrast, sector-level links are weaker, with Financials only moderately negatively correlated and Utilities showing relatively contained rate sensitivity despite a more pronounced negative link over the 90-day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