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and U. S. equities, with both GLD and the S&amp;P 500 showing strong inverse moves versus DXY, and those negative ties have intensified in the shorter 15-day window. Oil (USO) and broad commodities (COMT) have been more moderately aligned with a stronger dollar, suggesting that recent USD strength has tended to come alongside firmer energy and commodity prices.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