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have shown strong negative sensitivity to yields, with the S&amp;P 500, Nasdaq 100, and Russell 2000 all moving lower on days when the 10-year yield rises, and the Russell 2000 exhibiting the most concentrated equity-rate linkage. The large-cap benchmarks’ rate sensitivity has intensified versus their 90-day patterns, pointing to a more yield-driven tape recently, while the Russell 2000’s strong correlation is both high and unusually consistent across 15-, 30-, and 90-day windows.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