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closely tied to most major assets, with the strongest linkage in gold, where a firmer dollar has generally lined up with weaker gold prices, and vice versa. The S&amp;P 500 also shows a clear inverse relationship to the USD, while oil and broad commodities have tended to rise when the dollar rises, pointing to a concentrated but mixed pattern of USD sensitivity across risk and real assets. Bitcoin stands out with little recent connection to the dollar, indicating its day‑to‑day swings have mostly been driven by factors other than broad USD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