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(SPX, NDX) and Financials have shown only mild day‑to‑day linkage to 10Y yields, suggesting relatively contained rate sensitivity in the near term despite more pronounced negative correlations over 90 days. Russell 2000 stands out as more rate‑sensitive, with consistently stronger negative correlations across all windows, indicating that small caps have been more closely tied to moves in yields.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