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risk assets and gold, with the S&amp;P 500 and Bitcoin tending to fall when the dollar rises, and gold showing the strongest inverse linkage to the USD. Short-term and 90-day readings confirm a persistent negative relationship for SPX, GLD, and Bitcoin, suggesting these markets have been moving counter to dollar strength across multiple horizons. In contrast, USO and broad commodities show only mild and unstable ties to the USD, indicating that recent moves there have been driven more by other factors than by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