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moved strongly opposite 10-year yields, with the Russell 2000 showing the most pronounced equity sensitivity and the S&amp;P 500 and Nasdaq 100 not far behind, indicating broadly negative rate exposure across major indices. The Russell’s tight and persistently negative readings across 15D, 30D, and 90D suggest that equity rate sensitivity is concentrated in smaller caps. Financials remain negatively linked to yields rather than benefiting from them, while Utilities show a milder short-term reaction but a more persistent negative relationship over the 90D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