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linkages are concentrated in equities, gold, and energy, with the S&amp;P 500 and GLD moving meaningfully opposite the dollar while USO and broad commodities tend to rise when the dollar strengthens. Gold shows the clearest USD sensitivity, with a moderately strong negative correlation that has intensified over the last 15 days, reinforcing its role as a counter-dollar asset. The S&amp;P 500’s negative correlation to the dollar has also strengthened recently, while Bitcoin remains largely detached from USD moves across all windows.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