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benchmarks have generally traded inversely to moves in the 10-year yield, with rate sensitivity most pronounced in small caps (RUT) and more moderate in the S&amp;P 500 and Nasdaq 100. That pattern has been fairly persistent over 90 days, suggesting a sustained tendency for higher yields to align with weaker equity returns, especially in smaller, more domestically focused names. Utilities remain negatively linked to yields but not as sharply as small caps, while Financials show relatively contained rate sensitivity, with only a mild negative correlation to yields over the same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