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risk assets and gold, with the S&amp;P 500 and Bitcoin tending to fall when the dollar strengthens, and gold showing the strongest inverse linkage of the group. Gold’s negative correlation is also persistent across 15D and 90D windows, underscoring its role as the clearest counter-USD asset here. In contrast, broad commodities and oil show only mild and shifting correlations to the dollar, suggesting their recent moves have been driven more by idiosyncratic or sector-specific factors than by USD swings.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