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rate sensitivity is most pronounced in the Russell 2000, Financials, and the S&amp;P 500, all showing moderately negative links to moves in the 10-year yield, while the Nasdaq 100 stands out for its contained sensitivity. The Russell 2000’s correlation is the most negative among the equity indexes on this window and becomes even more negative over 90 days, indicating that smaller caps have been especially pressured when yields rise. Financials also show a consistently negative relationship to yields across 15D and 30D, suggesting that, recently, higher rates have coincided with weaker sector performance rather than the textbook positive linkage. Utilities remain negatively correlated but less tightly than broad equities, and that sensitivity appears to ease further when viewed over 90 days.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