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and Bitcoin, both showing clear inverse links to the dollar, with gold the standout hedge and Bitcoin moderately aligned in the same direction. Equities, oil, and broad commodities show only mild and inconsistent relationships to the USD, suggesting their recent moves have been driven more by asset‑specific factors than by dollar swings. The stronger short‑term inverse in gold and Bitcoin versus the 30‑day view points to heightened near‑term responsiveness to USD moves, while the 90‑day patterns show that this negative linkage has been relatively persistent.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