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 S. equities have generally moved opposite 10-year yields, with rate sensitivity most pronounced in small caps (Russell 2000) and the broad S&amp;P 500, and somewhat less acute in the Nasdaq 100. This negative linkage in equities is stronger than it was over the last 90 days, suggesting recent moves in stock indexes have been more tightly tied to rate swings than earlier in the quarter.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