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(GLD), which shows a strong negative linkage, and in the S&amp;P 500 (SPX) and Bitcoin futures, which also tend to move opposite the dollar, though less intensely. USO displays a moderate positive relationship with the USD, while broad commodities (COMT) have only a mild connection, suggesting that recent dollar moves have not been a dominant driver for the broad commodity basket. Compared with the 90-day window, GLD’s and SPX’s negative links to the USD have sharpened, while Bitcoin’s linkage has strengthened more recently on the 15-day view.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