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all major equity indices have shown strong negative sensitivity to moves in the 10-year yield, with the Russell 2000 the most rate-sensitive among equities and the S&amp;P 500 and Nasdaq 100 not far behind. This pattern suggests equity performance has recently tended to weaken on days when yields rise, with that effect especially concentrated in smaller caps. Financials are still negatively linked to yields but less tightly than the broad indices, while Utilities now sit in a middle zone where their rate sensitivity has picked up vs 15D readings but is closer to their longer-run 90D relationship.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