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equities and gold, with the S&amp;P 500 and GLD both showing strong inverse moves when the dollar strengthens, and that negative linkage has intensified over the last 15 days. Oil (USO) and broad commodities (COMT) have moved moderately in the same direction as the USD, suggesting that recent commodity price swings have tended to align with dollar moves rather than offset them. Bitcoin’s linkage to the USD is weaker and more variable, with only a mild negative relationship over the 30- and 90-day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