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equity indices have shown broadly negative sensitivity to moves in the 10-year yield, with the S&amp;P 500 and Russell 2000 both moderately inverse and the Nasdaq somewhat less so than in the very short term. Rate sensitivity in small caps and utilities is notable, as both show consistently negative correlations across 15D, 30D, and 90D windows. Financials remain less tied to rate moves than the broad market, with only mild and fairly stable negative correlations.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