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of which tend to move in the opposite direction of the dollar, with gold showing the clearest inverse relationship. Gold’s negative linkage to the USD is also stable across 15D and 90D windows, while SPX and Bitcoin show a somewhat weaker but still consistent pattern. In contrast, broad commodities and oil exhibit only minimal correlation to the dollar across all windows, suggesting limited direct impact from day-to-day USD moves on those exposures.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