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generally moved opposite to changes in the 10-year yield, with the Russell 2000 and Financials showing the clearest equity-rate linkage while the Nasdaq 100’s sensitivity has remained relatively contained. Small caps’ correlation has become more negative from 15D to 90D, suggesting rate moves have been weighing more persistently on that segment than on the broad S&amp;P 500. Utilities’ relationship to yields is negative but less consistent across windows, indicating rate sensitivity that has recently been more episodic than steady.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