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USD correlations: Over the last 30 trading days, USD sensitivity is concentrated in GLD and Bitcoin, which both tend to weaken when the dollar strengthens, with gold showing the clearest and most persistent inverse link across 15D, 30D, and 90D windows. BTC also leans negatively to the dollar, but with a somewhat less stable relationship than gold. In contrast, SPX, oil (USO), and broad commodities (COMT) show only mild USD linkage on the 30D view, with oil and commodities even flipping from a slightly positive relationship over 90D to effectively neutral or modestly negative more recently.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