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shown broadly elevated rate sensitivity, with the Russell 2000 displaying the most concentrated negative linkage to rising 10Y yields among the major equity benchmarks, followed closely by the S&amp;P 500 and Nasdaq 100. The 15-day window is even more negative for these indexes, suggesting that equities’ day-to-day moves have recently been tightly aligned with yield moves, while the 90-day correlations are still negative but noticeably less intense. Sector-wise, Financials and Utilities remain negatively related to yields as well, but their correlations are meaningfully weaker than those of the broad equity indexes, pointing to comparatively less rate-driven behavior.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